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Appeals</w:t>
      </w:r>
    </w:p>
    <w:p>
      <w:pPr>
        <w:jc w:val="both"/>
        <w:spacing w:before="100" w:after="0"/>
        <w:ind w:start="360"/>
        <w:ind w:firstLine="360"/>
      </w:pPr>
      <w:r>
        <w:rPr>
          <w:b/>
        </w:rPr>
        <w:t>1</w:t>
        <w:t xml:space="preserve">.  </w:t>
      </w:r>
      <w:r>
        <w:rPr>
          <w:b/>
        </w:rPr>
        <w:t xml:space="preserve">Assessments.</w:t>
        <w:t xml:space="preserve"> </w:t>
      </w:r>
      <w:r>
        <w:t xml:space="preserve"> </w:t>
      </w:r>
      <w:r>
        <w:t xml:space="preserve">Physicians, hospitals and physicians' employers  aggrieved by an insurer's application of the assessment provided for in this chapter may request a hearing before the superintendent.  The hearing must be held in accordance with </w:t>
      </w:r>
      <w:r>
        <w:t>chapter 3</w:t>
      </w:r>
      <w:r>
        <w:t xml:space="preserve">, the Maine Administrative Procedure Act and procedural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w:t>
      </w:r>
    </w:p>
    <w:p>
      <w:pPr>
        <w:jc w:val="both"/>
        <w:spacing w:before="100" w:after="0"/>
        <w:ind w:start="360"/>
        <w:ind w:firstLine="360"/>
      </w:pPr>
      <w:r>
        <w:rPr>
          <w:b/>
        </w:rPr>
        <w:t>2</w:t>
        <w:t xml:space="preserve">.  </w:t>
      </w:r>
      <w:r>
        <w:rPr>
          <w:b/>
        </w:rPr>
        <w:t xml:space="preserve">Eligibility.</w:t>
        <w:t xml:space="preserve"> </w:t>
      </w:r>
      <w:r>
        <w:t xml:space="preserve"> </w:t>
      </w:r>
      <w:r>
        <w:t xml:space="preserve">Physicians aggrieved by an eligibility determination by the Department of Health and Human Services under </w:t>
      </w:r>
      <w:r>
        <w:t>section 6307</w:t>
      </w:r>
      <w:r>
        <w:t xml:space="preserve"> may request a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§6310.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