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Report to board or licensing authority</w:t>
      </w:r>
    </w:p>
    <w:p>
      <w:pPr>
        <w:jc w:val="both"/>
        <w:spacing w:before="100" w:after="100"/>
        <w:ind w:start="360"/>
        <w:ind w:firstLine="360"/>
      </w:pPr>
      <w:r>
        <w:rPr/>
      </w:r>
      <w:r>
        <w:rPr/>
      </w:r>
      <w:r>
        <w:t xml:space="preserve">The superintendent shall, within 30 days of their receipt, submit to the appropriate board or other state licensing authority a copy or summary of reports received pursuant to </w:t>
      </w:r>
      <w:r>
        <w:t>section 2601</w:t>
      </w:r>
      <w:r>
        <w:t xml:space="preserve"> or </w:t>
      </w:r>
      <w:r>
        <w:t>section 2602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2013, c. 59,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§2605. Report to board or licensing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Report to board or licensing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§2605. REPORT TO BOARD OR LICENSING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