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Purpose and definitions</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mandatory prelitigation screening and mediation panels is:</w:t>
      </w:r>
    </w:p>
    <w:p>
      <w:pPr>
        <w:jc w:val="both"/>
        <w:spacing w:before="100" w:after="0"/>
        <w:ind w:start="720"/>
      </w:pPr>
      <w:r>
        <w:rPr/>
        <w:t>A</w:t>
        <w:t xml:space="preserve">.  </w:t>
      </w:r>
      <w:r>
        <w:rPr/>
      </w:r>
      <w:r>
        <w:t xml:space="preserve">To identify claims of professional negligence which merit compensation and to encourage early resolution of those claims prior to commencement of a lawsuit; and</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w:pPr>
        <w:jc w:val="both"/>
        <w:spacing w:before="100" w:after="0"/>
        <w:ind w:start="720"/>
      </w:pPr>
      <w:r>
        <w:rPr/>
        <w:t>B</w:t>
        <w:t xml:space="preserve">.  </w:t>
      </w:r>
      <w:r>
        <w:rPr/>
      </w:r>
      <w:r>
        <w:t xml:space="preserve">To identify claims of professional negligence and to encourage early withdrawal or dismissal of nonmeritorious claims.</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  The definition of a "claim of professional negligence" is limited to any written notice of claim served pursuant to section 2903 against health care practitioners and health care providers or any employee or agent acting within the scope of their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§2851. Purpose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Purpose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§2851. PURPOSE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