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Formation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§2852. FORMATION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