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2859</w:t>
        <w:t xml:space="preserve">.  </w:t>
      </w:r>
      <w:r>
        <w:rPr>
          <w:b/>
        </w:rPr>
        <w:t xml:space="preserve">Statute of limitations</w:t>
      </w:r>
    </w:p>
    <w:p>
      <w:pPr>
        <w:jc w:val="both"/>
        <w:spacing w:before="100" w:after="100"/>
        <w:ind w:start="360"/>
        <w:ind w:firstLine="360"/>
      </w:pPr>
      <w:r>
        <w:rPr/>
      </w:r>
      <w:r>
        <w:rPr/>
      </w:r>
      <w:r>
        <w:t xml:space="preserve">The applicable statute of limitations concerning actions for professional negligence is tolled from the date upon which notice of claim is served or filed in Superior Court until 30 days following the day upon which the claimant receives notice of the findings of the panel.</w:t>
      </w:r>
      <w:r>
        <w:t xml:space="preserve">  </w:t>
      </w:r>
      <w:r xmlns:wp="http://schemas.openxmlformats.org/drawingml/2010/wordprocessingDrawing" xmlns:w15="http://schemas.microsoft.com/office/word/2012/wordml">
        <w:rPr>
          <w:rFonts w:ascii="Arial" w:hAnsi="Arial" w:cs="Arial"/>
          <w:sz w:val="22"/>
          <w:szCs w:val="22"/>
        </w:rPr>
        <w:t xml:space="preserve">[PL 1989, c. 827,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§§12,22 (NEW). PL 1989, c. 827,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§2859. Statute of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§2859. Statute of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§2859. STATUTE OF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