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Statute of limitations for health care providers and health care practitioners excluding claims based on sexual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Statute of limitations for health care providers and health care practitioners excluding claims based on sexual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§2902. STATUTE OF LIMITATIONS FOR HEALTH CARE PROVIDERS AND HEALTH CARE PRACTITIONERS EXCLUDING CLAIMS BASED ON SEXUAL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