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2905-B</w:t>
        <w:t xml:space="preserve">.  </w:t>
      </w:r>
      <w:r>
        <w:rPr>
          <w:b/>
        </w:rPr>
        <w:t xml:space="preserve">Informed consent for pelvic, rectal or prostate examination</w:t>
      </w:r>
    </w:p>
    <w:p>
      <w:pPr>
        <w:jc w:val="both"/>
        <w:spacing w:before="100" w:after="100"/>
        <w:ind w:start="360"/>
        <w:ind w:firstLine="360"/>
      </w:pPr>
      <w:r>
        <w:rPr/>
      </w:r>
      <w:r>
        <w:rPr/>
      </w:r>
      <w:r>
        <w:t xml:space="preserve">A health care practitioner may not perform a pelvic, rectal or prostate examination or supervise a pelvic, rectal or prostate examination performed by an individual practicing under the supervision of the health care practitioner on a patient without first obtaining the patient's specific informed consent, orally and in writing, to that pelvic, rectal or prostate examination, unless:</w:t>
      </w:r>
      <w:r>
        <w:t xml:space="preserve">  </w:t>
      </w:r>
      <w:r xmlns:wp="http://schemas.openxmlformats.org/drawingml/2010/wordprocessingDrawing" xmlns:w15="http://schemas.microsoft.com/office/word/2012/wordml">
        <w:rPr>
          <w:rFonts w:ascii="Arial" w:hAnsi="Arial" w:cs="Arial"/>
          <w:sz w:val="22"/>
          <w:szCs w:val="22"/>
        </w:rPr>
        <w:t xml:space="preserve">[PL 2019, c. 602, §1 (NEW).]</w:t>
      </w:r>
    </w:p>
    <w:p>
      <w:pPr>
        <w:jc w:val="both"/>
        <w:spacing w:before="100" w:after="0"/>
        <w:ind w:start="360"/>
        <w:ind w:firstLine="360"/>
      </w:pPr>
      <w:r>
        <w:rPr>
          <w:b/>
        </w:rPr>
        <w:t>1</w:t>
        <w:t xml:space="preserve">.  </w:t>
      </w:r>
      <w:r>
        <w:rPr>
          <w:b/>
        </w:rPr>
        <w:t xml:space="preserve">Unconscious patient; diagnostic purposes and medically necessary.</w:t>
        <w:t xml:space="preserve"> </w:t>
      </w:r>
      <w:r>
        <w:t xml:space="preserve"> </w:t>
      </w:r>
      <w:r>
        <w:t xml:space="preserve">In the case of an unconscious patient, the examination is required for diagnostic purposes and is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2</w:t>
        <w:t xml:space="preserve">.  </w:t>
      </w:r>
      <w:r>
        <w:rPr>
          <w:b/>
        </w:rPr>
        <w:t xml:space="preserve">Examination on unconscious alleged victim of sexual assault.</w:t>
        <w:t xml:space="preserve"> </w:t>
      </w:r>
      <w:r>
        <w:t xml:space="preserve"> </w:t>
      </w:r>
      <w:r>
        <w:t xml:space="preserve">The health care practitioner is authorized to perform the examination pursuant to </w:t>
      </w:r>
      <w:r>
        <w:t>section 2986, 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3</w:t>
        <w:t xml:space="preserve">.  </w:t>
      </w:r>
      <w:r>
        <w:rPr>
          <w:b/>
        </w:rPr>
        <w:t xml:space="preserve">Conscious patient.</w:t>
        <w:t xml:space="preserve"> </w:t>
      </w:r>
      <w:r>
        <w:t xml:space="preserve"> </w:t>
      </w:r>
      <w:r>
        <w:t xml:space="preserve">The patient is conscious, in which case the health care practitioner shall obtain the patient's specific informed consent, orally, to that pelvic, rectal or prostate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602, §1 (NEW). PL 2021, c. 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§2905-B. Informed consent for pelvic, rectal or prostate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§2905-B. Informed consent for pelvic, rectal or prostate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§2905-B. INFORMED CONSENT FOR PELVIC, RECTAL OR PROSTATE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