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§1547. COURTS TO SUBMIT CRIMINAL RECORDS TO THE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