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§§47,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§1668. The conference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The conference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§1668. THE CONFERENCE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