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2104-A</w:t>
        <w:t xml:space="preserve">.  </w:t>
      </w:r>
      <w:r>
        <w:rPr>
          <w:b/>
        </w:rPr>
        <w:t xml:space="preserve">Reporting system</w:t>
      </w:r>
    </w:p>
    <w:p>
      <w:pPr>
        <w:jc w:val="both"/>
        <w:spacing w:before="100" w:after="100"/>
        <w:ind w:start="360"/>
        <w:ind w:firstLine="360"/>
      </w:pPr>
      <w:r>
        <w:rPr/>
      </w:r>
      <w:r>
        <w:rPr/>
      </w:r>
      <w:r>
        <w:t xml:space="preserve">In addition to the reporting requirements of 49 Code of Federal Regulations, Part 171, any person who transports a hazardous material within this State involved in an accident resulting in death, serious illness or serious personal injury, or resulting in a discharge of a hazardous material, shall report the accident, as provided for hazardous matter, </w:t>
      </w:r>
      <w:r>
        <w:t>Title 38, section 1318‑B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§2104-A. Reporting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§2104-A. Reporting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§2104-A. REPORTING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