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Failure to comply with order of building official</w:t>
      </w:r>
    </w:p>
    <w:p>
      <w:pPr>
        <w:jc w:val="both"/>
        <w:spacing w:before="100" w:after="100"/>
        <w:ind w:start="360"/>
        <w:ind w:firstLine="360"/>
      </w:pPr>
      <w:r>
        <w:rPr/>
      </w:r>
      <w:r>
        <w:rPr/>
      </w:r>
      <w:r>
        <w:t xml:space="preserve">If the owner of any building neglects or refuses for more than 30 days to comply with any direction of the building official concerning the repairs on any building as provided in </w:t>
      </w:r>
      <w:r>
        <w:t>section 2354</w:t>
      </w:r>
      <w:r>
        <w:t xml:space="preserve">, the owner must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§4 (AMD). PL 1989, c. 502, §A102 (AMD). PL 2009, c. 261,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§2358. Failure to comply with order of building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Failure to comply with order of building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§2358. FAILURE TO COMPLY WITH ORDER OF BUILDING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