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Kindling fire with intent to injure another</w:t>
      </w:r>
    </w:p>
    <w:p>
      <w:pPr>
        <w:jc w:val="both"/>
        <w:spacing w:before="100" w:after="100"/>
        <w:ind w:start="360"/>
        <w:ind w:firstLine="360"/>
      </w:pPr>
      <w:r>
        <w:rPr/>
      </w:r>
      <w:r>
        <w:rPr/>
      </w:r>
      <w:r>
        <w:t xml:space="preserve">Whoever with intent to injure another causes a fire to be kindled, whereby the property of any other person is injured or destroyed,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797,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§2435. Kindling fire with intent to injure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Kindling fire with intent to injure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§2435. KINDLING FIRE WITH INTENT TO INJURE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