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Collection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§2492. COLLECTION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