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§2958. Prosecution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Prosecution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§2958. PROSECUTION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