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does not apply if the municipality, official or employee settles the claim without the consent of the State or if the municipality, official or employee does not notify the State within 30 days after receiving actual written notice of the claim against the municipality, official or employee or within 15 days after the service of the summons and complaint upon the municipality, official or employee and if the State is prejudiced by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RR 2023, c. 2, Pt. E,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§1084. Municipal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Municipal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§1084. MUNICIPAL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