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Standards for equipment and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Standards for equipment and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§2103. STANDARDS FOR EQUIPMENT AND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