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Standards of apprenticeship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Standards of apprenticeship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§3203. STANDARDS OF APPRENTICESHIP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