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Scope</w:t>
      </w:r>
    </w:p>
    <w:p>
      <w:pPr>
        <w:jc w:val="both"/>
        <w:spacing w:before="100" w:after="100"/>
        <w:ind w:start="360"/>
        <w:ind w:firstLine="360"/>
      </w:pPr>
      <w:r>
        <w:rPr/>
      </w:r>
      <w:r>
        <w:rPr/>
      </w:r>
      <w:r>
        <w:t xml:space="preserve">This subchapter applies to locomotives and caboose cars and other rolling stock, including camp cars and any other work area in which sanitation is not governed by a federal agency or another state agency.  It does not apply to locomotives used only in yard switching service.</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§352.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