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3701)</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§97 (RAL).]</w:t>
      </w:r>
    </w:p>
    <w:p>
      <w:pPr>
        <w:jc w:val="both"/>
        <w:spacing w:before="100" w:after="0"/>
        <w:ind w:start="360"/>
        <w:ind w:firstLine="360"/>
      </w:pPr>
      <w:r>
        <w:rPr>
          <w:b/>
        </w:rPr>
        <w:t>1</w:t>
        <w:t xml:space="preserve">.  </w:t>
      </w:r>
      <w:r>
        <w:rPr>
          <w:b/>
        </w:rPr>
        <w:t xml:space="preserve">Benefit cliff effect.</w:t>
        <w:t xml:space="preserve"> </w:t>
      </w:r>
      <w:r>
        <w:t xml:space="preserve"> </w:t>
      </w:r>
      <w:r>
        <w:t xml:space="preserve">"Benefit cliff effect" means the situation that arises when an individual or family receiving state, federal or local public benefits has a new or increased income that results in a loss of any of those public benefits and the increased income does not fully compensate for, or exceed, the financial loss of those public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w:t>
      </w:r>
    </w:p>
    <w:p>
      <w:pPr>
        <w:jc w:val="both"/>
        <w:spacing w:before="100" w:after="0"/>
        <w:ind w:start="360"/>
        <w:ind w:firstLine="360"/>
      </w:pPr>
      <w:r>
        <w:rPr>
          <w:b/>
        </w:rPr>
        <w:t>2</w:t>
        <w:t xml:space="preserve">.  </w:t>
      </w:r>
      <w:r>
        <w:rPr>
          <w:b/>
        </w:rPr>
        <w:t xml:space="preserve">Essential support worker.</w:t>
        <w:t xml:space="preserve"> </w:t>
      </w:r>
      <w:r>
        <w:t xml:space="preserve"> </w:t>
      </w:r>
      <w:r>
        <w:t xml:space="preserve">"Essential support worker" has the same meaning as in </w:t>
      </w:r>
      <w:r>
        <w:t>Title 22, section 7401,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