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591-A</w:t>
        <w:t xml:space="preserve">.  </w:t>
      </w:r>
      <w:r>
        <w:rPr>
          <w:b/>
        </w:rPr>
        <w:t xml:space="preserve">Employee misclassification</w:t>
      </w:r>
    </w:p>
    <w:p>
      <w:pPr>
        <w:jc w:val="both"/>
        <w:spacing w:before="100" w:after="100"/>
        <w:ind w:start="360"/>
        <w:ind w:firstLine="360"/>
      </w:pPr>
      <w:r>
        <w:rPr/>
      </w:r>
      <w:r>
        <w:rPr/>
      </w:r>
      <w:r>
        <w:t xml:space="preserve">An employer that intentionally or knowingly misclassifies an employee as an independent contractor commits a civil violation for which a fine of not less than $2,000 and not more than $10,000 per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w:pPr>
        <w:jc w:val="both"/>
        <w:spacing w:before="100" w:after="100"/>
        <w:ind w:start="360"/>
        <w:ind w:firstLine="360"/>
      </w:pPr>
      <w:r>
        <w:rPr/>
      </w:r>
      <w:r>
        <w:rPr/>
      </w:r>
      <w:r>
        <w:t xml:space="preserve">A determination of misclassification of a worker as an independent contractor may result in the assessment of penalties under </w:t>
      </w:r>
      <w:r>
        <w:t>section 1051</w:t>
      </w:r>
      <w:r>
        <w:t xml:space="preserve">, </w:t>
      </w:r>
      <w:r>
        <w:t>1082</w:t>
      </w:r>
      <w:r>
        <w:t xml:space="preserve"> or </w:t>
      </w:r>
      <w:r>
        <w:t>1225</w:t>
      </w:r>
      <w:r>
        <w:t xml:space="preserve"> or </w:t>
      </w:r>
      <w:r>
        <w:t>Title 39‑A, section 105‑A</w:t>
      </w:r>
      <w:r>
        <w:t xml:space="preserve"> or </w:t>
      </w:r>
      <w:r>
        <w:t>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§5 (NEW).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§591-A. Employee misclassification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§591-A. Employee misclassification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§591-A. EMPLOYEE MISCLASSIFICATION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