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Examination; 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112, §1 (AMD).]</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every person who may be permitted, required or directed by any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an individual, partnership, association, corporation, legal representative, trustee, receiver, trustee in bankruptcy and any common carrier by rail, motor, water, air or express company doing business in or operating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§3 (AMD); PL 2011, c. 643, §14 (AFF).]</w:t>
      </w:r>
    </w:p>
    <w:p>
      <w:pPr>
        <w:jc w:val="both"/>
        <w:spacing w:before="100" w:after="0"/>
        <w:ind w:start="360"/>
        <w:ind w:firstLine="360"/>
      </w:pPr>
      <w:r>
        <w:rPr>
          <w:b/>
        </w:rPr>
        <w:t>3</w:t>
        <w:t xml:space="preserve">.  </w:t>
      </w:r>
      <w:r>
        <w:rPr>
          <w:b/>
        </w:rPr>
        <w:t xml:space="preserve">Independent contractor.</w:t>
        <w:t xml:space="preserve"> </w:t>
      </w:r>
      <w:r>
        <w:t xml:space="preserve"> </w:t>
      </w:r>
      <w:r>
        <w:t xml:space="preserve">"Independent contractor" means an individual who qualifies as an independent contractor under </w:t>
      </w:r>
      <w:r>
        <w:t>section 1043, subsection 11,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§4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 PL 2011, c. 643, §§3, 4 (AMD). PL 2011, c. 643,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 Examination;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Examination;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§591. EXAMINATION;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