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670-A</w:t>
        <w:t xml:space="preserve">.  </w:t>
      </w:r>
      <w:r>
        <w:rPr>
          <w:b/>
        </w:rPr>
        <w:t xml:space="preserve">Remedies for overtime wage violations involving state employees</w:t>
      </w:r>
    </w:p>
    <w:p>
      <w:pPr>
        <w:jc w:val="both"/>
        <w:spacing w:before="100" w:after="100"/>
        <w:ind w:start="360"/>
        <w:ind w:firstLine="360"/>
      </w:pPr>
      <w:r>
        <w:rPr/>
      </w:r>
      <w:r>
        <w:rPr/>
      </w:r>
      <w:r>
        <w:t xml:space="preserve">Notwithstanding </w:t>
      </w:r>
      <w:r>
        <w:t>section 670</w:t>
      </w:r>
      <w:r>
        <w:t xml:space="preserve">, in an action brought to recover unpaid overtime wages for an employee of the executive or judicial branch of the State, the judgment or award is limited to the unpaid overtime compensation adjudged to be due, without liquidated damages or attorney's fees.  An action for unpaid overtime wages for an employee of the executive or judicial branch of the State must be brought within 2 years after the cause of action accrued, except that a cause of action arising from a willful violation of the overtime wage payment law must be commenced within 3 years after the cause of action accrued.  Overtime wages are recoverable by employees of the executive or judicial branch beginning with the later of the date the cause of action accrued and the date the applicable limitations period began.</w:t>
      </w:r>
      <w:r>
        <w:t xml:space="preserve">  </w:t>
      </w:r>
      <w:r xmlns:wp="http://schemas.openxmlformats.org/drawingml/2010/wordprocessingDrawing" xmlns:w15="http://schemas.microsoft.com/office/word/2012/wordml">
        <w:rPr>
          <w:rFonts w:ascii="Arial" w:hAnsi="Arial" w:cs="Arial"/>
          <w:sz w:val="22"/>
          <w:szCs w:val="22"/>
        </w:rPr>
        <w:t xml:space="preserve">[PL 2003, c. 423, §3 (NEW); PL 2003, c. 423,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423, §3 (NEW). PL 2003, c. 423,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§670-A. Remedies for overtime wage violations involving state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§670-A. Remedies for overtime wage violations involving state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§670-A. REMEDIES FOR OVERTIME WAGE VIOLATIONS INVOLVING STATE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