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w:t>
        <w:t xml:space="preserve">.  </w:t>
      </w:r>
      <w:r>
        <w:rPr>
          <w:b/>
        </w:rPr>
        <w:t xml:space="preserve">Rulemaking</w:t>
      </w:r>
    </w:p>
    <w:p>
      <w:pPr>
        <w:jc w:val="both"/>
        <w:spacing w:before="100" w:after="100"/>
        <w:ind w:start="360"/>
        <w:ind w:firstLine="360"/>
      </w:pPr>
      <w:r>
        <w:rPr/>
      </w:r>
      <w:r>
        <w:rPr/>
      </w:r>
      <w:r>
        <w:t xml:space="preserve">The Director of the Bureau of Labor Standards may adopt rules pursuant to </w:t>
      </w:r>
      <w:r>
        <w:t>Title 5, chapter 375, subchapter II</w:t>
      </w:r>
      <w:r>
        <w:t xml:space="preserve"> that are consistent with this subchapter and considered appropriate or necessary for the proper administration and enforcement of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434,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434,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§785.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§785.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