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described in </w:t>
      </w:r>
      <w:r>
        <w:t>Title 5, chapter 337,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any person engaged to work on a steady or regular basis, whether full-time or part-time,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 any person, partnership, firm, association, corporation, employment agency, labor organization, joint apprenticeship committee or other legal entity, public or private, that is located or doing business 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4</w:t>
        <w:t xml:space="preserve">.  </w:t>
      </w:r>
      <w:r>
        <w:rPr>
          <w:b/>
        </w:rPr>
        <w:t xml:space="preserve">Sexual harassment.</w:t>
        <w:t xml:space="preserve"> </w:t>
      </w:r>
      <w:r>
        <w:t xml:space="preserve"> </w:t>
      </w:r>
      <w:r>
        <w:t xml:space="preserve">"Sexual harassment" has the same meaning as found in rules adopted by the Maine Human Rights Commission under the Maine Human Rights Act, </w:t>
      </w:r>
      <w:r>
        <w:t>Title 5, section 4572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