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974</w:t>
        <w:t xml:space="preserve">.  </w:t>
      </w:r>
      <w:r>
        <w:rPr>
          <w:b/>
        </w:rPr>
        <w:t xml:space="preserve">Publication of initial proposals</w:t>
      </w:r>
    </w:p>
    <w:p>
      <w:pPr>
        <w:jc w:val="both"/>
        <w:spacing w:before="100" w:after="100"/>
        <w:ind w:start="360"/>
        <w:ind w:firstLine="360"/>
      </w:pPr>
      <w:r>
        <w:rPr/>
      </w:r>
      <w:r>
        <w:rPr/>
      </w:r>
      <w:r>
        <w:t xml:space="preserve">Either party to negotiations may publicize the parties' written initial collective bargaining proposals. No proposal may be publicized until 10 days after both parties have made their initial proposal.</w:t>
      </w:r>
      <w:r>
        <w:t xml:space="preserve">  </w:t>
      </w:r>
      <w:r xmlns:wp="http://schemas.openxmlformats.org/drawingml/2010/wordprocessingDrawing" xmlns:w15="http://schemas.microsoft.com/office/word/2012/wordml">
        <w:rPr>
          <w:rFonts w:ascii="Arial" w:hAnsi="Arial" w:cs="Arial"/>
          <w:sz w:val="22"/>
          <w:szCs w:val="22"/>
        </w:rPr>
        <w:t xml:space="preserve">[PL 1979, c. 125,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§974. Publication of initial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§974. Publication of initial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§974. PUBLICATION OF INITIAL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