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Imagination Library of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Imagination Library of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 IMAGINATION LIBRARY OF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