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Membership</w:t>
      </w:r>
    </w:p>
    <w:p>
      <w:pPr>
        <w:jc w:val="both"/>
        <w:spacing w:before="100" w:after="100"/>
        <w:ind w:start="360"/>
        <w:ind w:firstLine="360"/>
      </w:pPr>
      <w:r>
        <w:rPr/>
      </w:r>
      <w:r>
        <w:rPr/>
      </w:r>
      <w:r>
        <w:t xml:space="preserve">The term of office of each member shall be 3 years; provided that of the members first appointed, 1/3 shall be appointed for terms of one year, 1/3 for terms of 2 years and 1/3 for terms of 3 years. Other than the chairman, no member of the commission who serves 2 full 3-year terms shall be eligible for reappointment during the one-year period following the expiration of his second such term. The Governor shall designate a chairman and a vice-chairman from the members of the commission, to serve as such at the pleasure of the Governor. The chairman shall be the presiding officer of the commission. All vacancies shall be filled for the balance of the unexpired term in the same manner as original appointments. 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1983, c. 812, §170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