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ENFORCEMENT AND JURISDICTION</w:t>
      </w:r>
    </w:p>
    <w:p>
      <w:pPr>
        <w:jc w:val="center"/>
        <w:ind w:start="360"/>
        <w:spacing w:before="300" w:after="300"/>
      </w:pPr>
      <w:r>
        <w:rPr>
          <w:b/>
        </w:rPr>
        <w:t>SUBCHAPTER</w:t>
        <w:t xml:space="preserve"> </w:t>
        <w:t>1</w:t>
      </w:r>
    </w:p>
    <w:p>
      <w:pPr>
        <w:jc w:val="center"/>
        <w:ind w:start="360"/>
        <w:spacing w:before="300" w:after="300"/>
      </w:pPr>
      <w:r>
        <w:rPr>
          <w:b/>
        </w:rPr>
        <w:t xml:space="preserve">GENERAL</w:t>
      </w:r>
    </w:p>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91.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