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Class III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Class III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§1004. CLASS III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