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§1402-A. Samples of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Samples of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§1402-A. SAMPLES OF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