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Employment of violators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§703. EMPLOYMENT OF VIOLATORS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