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Employment of minors</w:t>
      </w:r>
    </w:p>
    <w:p>
      <w:pPr>
        <w:jc w:val="both"/>
        <w:spacing w:before="100" w:after="0"/>
        <w:ind w:start="360"/>
        <w:ind w:firstLine="360"/>
      </w:pPr>
      <w:r>
        <w:rPr>
          <w:b/>
        </w:rPr>
        <w:t>1</w:t>
        <w:t xml:space="preserve">.  </w:t>
      </w:r>
      <w:r>
        <w:rPr>
          <w:b/>
        </w:rPr>
        <w:t xml:space="preserve">Employees under 17 years of age.</w:t>
        <w:t xml:space="preserve"> </w:t>
      </w:r>
      <w:r>
        <w:t xml:space="preserve"> </w:t>
      </w:r>
      <w:r>
        <w:t xml:space="preserve">A licensee for the sale of liquor to be consumed on licensed premises may not employ a person under 17 years of age in the serving or selling of liquor on the premises where the liquor is sold.  A licensee who violates this subsection is subject to the penalties in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§3 (RPR); PL 2003, c. 452, Pt. X, §2 (AFF).]</w:t>
      </w:r>
    </w:p>
    <w:p>
      <w:pPr>
        <w:jc w:val="both"/>
        <w:spacing w:before="100" w:after="100"/>
        <w:ind w:start="360"/>
        <w:ind w:firstLine="360"/>
      </w:pPr>
      <w:r>
        <w:rPr>
          <w:b/>
        </w:rPr>
        <w:t>1-A</w:t>
        <w:t xml:space="preserve">.  </w:t>
      </w:r>
      <w:r>
        <w:rPr>
          <w:b/>
        </w:rPr>
        <w:t>(REALLOCATED FROM T. 28-A, §704, sub-§2)</w:t>
        <w:t xml:space="preserve"> </w:t>
      </w:r>
      <w:r>
        <w:rPr>
          <w:b/>
        </w:rPr>
        <w:t xml:space="preserve">Employees between 17 and 21 years of age.</w:t>
        <w:t xml:space="preserve"> </w:t>
      </w:r>
      <w:r>
        <w:t xml:space="preserve"> </w:t>
      </w:r>
      <w:r>
        <w:t xml:space="preserve">An employee who is at least 17 years of age but less than 21 years of age may serve or sell liquor only in the presence of an employee who is at least 21 years of age and is in a supervisory capacity.</w:t>
      </w:r>
    </w:p>
    <w:p>
      <w:pPr>
        <w:jc w:val="both"/>
        <w:spacing w:before="100" w:after="0"/>
        <w:ind w:start="720"/>
      </w:pPr>
      <w:r>
        <w:rPr/>
        <w:t>A</w:t>
        <w:t xml:space="preserve">.  </w:t>
      </w:r>
      <w:r>
        <w:rPr/>
      </w:r>
      <w:r>
        <w:t xml:space="preserve">A licensee whose employee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w:pPr>
        <w:jc w:val="both"/>
        <w:spacing w:before="100" w:after="0"/>
        <w:ind w:start="720"/>
      </w:pPr>
      <w:r>
        <w:rPr/>
        <w:t>B</w:t>
        <w:t xml:space="preserve">.  </w:t>
      </w:r>
      <w:r>
        <w:rPr/>
      </w:r>
      <w:r>
        <w:t xml:space="preserve">An employee who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§8 (RP).]</w:t>
      </w:r>
    </w:p>
    <w:p>
      <w:pPr>
        <w:jc w:val="both"/>
        <w:spacing w:before="100" w:after="0"/>
        <w:ind w:start="360"/>
        <w:ind w:firstLine="360"/>
      </w:pPr>
      <w:r>
        <w:rPr>
          <w:b/>
        </w:rPr>
        <w:t>2</w:t>
        <w:t xml:space="preserve">.  </w:t>
      </w:r>
      <w:r>
        <w:rPr>
          <w:b/>
        </w:rPr>
        <w:t>(REALLOCATED TO T. 28-A, §704, sub-§1-A)</w:t>
        <w:t xml:space="preserve"> </w:t>
      </w:r>
      <w:r>
        <w:rPr>
          <w:b/>
        </w:rPr>
        <w:t xml:space="preserve">Employees between 17 and 21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 PL 2003, c. 452, Pt. P, §3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§35 (AMD). PL 1993, c. 266, §§7,8 (AMD). PL 1997, c. 373, §67 (AMD). PL 2003, c. 452, §P3 (RPR). PL 2003, c. 452, §X2 (AFF). RR 2003, c. 1, §26 (COR). RR 2003, c. 1,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§704.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