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Enforcement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§82-A. ENFORCEMENT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