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Employment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§112. EMPLOYMENT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