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Records of transactions</w:t>
      </w:r>
    </w:p>
    <w:p>
      <w:pPr>
        <w:jc w:val="both"/>
        <w:spacing w:before="100" w:after="100"/>
        <w:ind w:start="360"/>
        <w:ind w:firstLine="360"/>
      </w:pPr>
      <w:r>
        <w:rPr>
          <w:b/>
        </w:rPr>
        <w:t>1</w:t>
        <w:t xml:space="preserve">.  </w:t>
      </w:r>
      <w:r>
        <w:rPr>
          <w:b/>
        </w:rPr>
        <w:t xml:space="preserve">Record keeping.</w:t>
        <w:t xml:space="preserve"> </w:t>
      </w:r>
      <w:r>
        <w:t xml:space="preserve"> </w:t>
      </w:r>
      <w:r>
        <w:t xml:space="preserve">A licensee shall maintain business records for 5 years, including:</w:t>
      </w:r>
    </w:p>
    <w:p>
      <w:pPr>
        <w:jc w:val="both"/>
        <w:spacing w:before="100" w:after="0"/>
        <w:ind w:start="720"/>
      </w:pPr>
      <w:r>
        <w:rPr/>
        <w:t>A</w:t>
        <w:t xml:space="preserve">.  </w:t>
      </w:r>
      <w:r>
        <w:rPr/>
      </w:r>
      <w:r>
        <w:t xml:space="preserve">A record of every vehicle received or disposed of; its make, model, model year, vehicle identification number; the date of its receipt or disposition; and the name and address of the person from whom received or to whom given;</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A-1</w:t>
        <w:t xml:space="preserve">.  </w:t>
      </w:r>
      <w:r>
        <w:rPr/>
      </w:r>
      <w:r>
        <w:t xml:space="preserve">A record of every component part, as defined in </w:t>
      </w:r>
      <w:r>
        <w:t>section 602, subsection 2</w:t>
      </w:r>
      <w:r>
        <w:t xml:space="preserve">, received or disposed of; its part identifying number; the date of its receipt or disposition; and the name and address of the person from whom received or to whom given;</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B</w:t>
        <w:t xml:space="preserve">.  </w:t>
      </w:r>
      <w:r>
        <w:rPr/>
      </w:r>
      <w:r>
        <w:t xml:space="preserve">A record of every vehicle scrapped or dismantled by the licensee, the date of that action and the vehicle's make, model, model year and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C</w:t>
        <w:t xml:space="preserve">.  </w:t>
      </w:r>
      <w:r>
        <w:rPr/>
      </w:r>
      <w:r>
        <w:t xml:space="preserve">A record of the seller's name and address from a government-issued photograph identification document or credential.  For purposes of this subsection, "government-issued photograph identification document or credential" includes, but is not limited to, a current and valid United States passport, military identification card, driver's license or nondriver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D</w:t>
        <w:t xml:space="preserve">.  </w:t>
      </w:r>
      <w:r>
        <w:rPr/>
      </w:r>
      <w:r>
        <w:t xml:space="preserve">Copies of titles, transfers and other documents used for titling purposes.</w:t>
      </w:r>
      <w:r>
        <w:t xml:space="preserve">  </w:t>
      </w:r>
      <w:r xmlns:wp="http://schemas.openxmlformats.org/drawingml/2010/wordprocessingDrawing" xmlns:w15="http://schemas.microsoft.com/office/word/2012/wordml">
        <w:rPr>
          <w:rFonts w:ascii="Arial" w:hAnsi="Arial" w:cs="Arial"/>
          <w:sz w:val="22"/>
          <w:szCs w:val="22"/>
        </w:rPr>
        <w:t xml:space="preserve">[PL 2021, c. 216, §35 (NEW).]</w:t>
      </w:r>
    </w:p>
    <w:p>
      <w:pPr>
        <w:jc w:val="both"/>
        <w:spacing w:before="100" w:after="0"/>
        <w:ind w:start="360"/>
      </w:pPr>
      <w:r>
        <w:rPr/>
      </w:r>
      <w:r>
        <w:rPr/>
      </w:r>
      <w:r>
        <w:t xml:space="preserve">A licensed mobile crusher must maintain an operator log for each location.  The log must contain the make, model, model year and vehicle identification number of each vehicle crushed and the date of that action.</w:t>
      </w:r>
    </w:p>
    <w:p>
      <w:pPr>
        <w:jc w:val="both"/>
        <w:spacing w:before="100" w:after="0"/>
        <w:ind w:start="360"/>
      </w:pPr>
      <w:r>
        <w:rPr/>
      </w:r>
      <w:r>
        <w:rPr/>
      </w:r>
      <w:r>
        <w:t xml:space="preserve">A scrap processor is exempt from the requirements set forth in </w:t>
      </w:r>
      <w:r>
        <w:t>paragraph A‑1</w:t>
      </w:r>
      <w:r>
        <w:t xml:space="preserve"> for vehicles received that are already dismantled.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§35 (AMD).]</w:t>
      </w:r>
    </w:p>
    <w:p>
      <w:pPr>
        <w:jc w:val="both"/>
        <w:spacing w:before="100" w:after="100"/>
        <w:ind w:start="360"/>
        <w:ind w:firstLine="360"/>
      </w:pPr>
      <w:r>
        <w:rPr>
          <w:b/>
        </w:rPr>
        <w:t>2</w:t>
        <w:t xml:space="preserve">.  </w:t>
      </w:r>
      <w:r>
        <w:rPr>
          <w:b/>
        </w:rPr>
        <w:t xml:space="preserve">Availability.</w:t>
        <w:t xml:space="preserve"> </w:t>
      </w:r>
      <w:r>
        <w:t xml:space="preserve"> </w:t>
      </w:r>
      <w:r>
        <w:t xml:space="preserve">The records, the place of business and the vehicles and vehicle parts in the possession of the licensee must be available for inspection during normal business hours by the Secretary of State, a law enforcement officer or representatives of the office of the Attorney General.</w:t>
      </w:r>
    </w:p>
    <w:p>
      <w:pPr>
        <w:jc w:val="both"/>
        <w:spacing w:before="100" w:after="0"/>
        <w:ind w:start="360"/>
      </w:pPr>
      <w:r>
        <w:rPr/>
      </w:r>
      <w:r>
        <w:rPr/>
      </w:r>
      <w:r>
        <w:t xml:space="preserve">The operator of a mobile crusher as defined in </w:t>
      </w:r>
      <w:r>
        <w:t>section 1102‑A</w:t>
      </w:r>
      <w:r>
        <w:t xml:space="preserve"> shall make that operator's records available in this State during normal business hours or in accordance with rules adopted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§18 (AMD).]</w:t>
      </w:r>
    </w:p>
    <w:p>
      <w:pPr>
        <w:jc w:val="both"/>
        <w:spacing w:before="100" w:after="0"/>
        <w:ind w:start="360"/>
        <w:ind w:firstLine="360"/>
      </w:pPr>
      <w:r>
        <w:rPr>
          <w:b/>
        </w:rPr>
        <w:t>3</w:t>
        <w:t xml:space="preserve">.  </w:t>
      </w:r>
      <w:r>
        <w:rPr>
          <w:b/>
        </w:rPr>
        <w:t xml:space="preserve">Compliance with federal law.</w:t>
        <w:t xml:space="preserve"> </w:t>
      </w:r>
      <w:r>
        <w:t xml:space="preserve"> </w:t>
      </w:r>
      <w:r>
        <w:t xml:space="preserve">In the keeping of records, a licensee shall comply with the federal Truth in Mileage Act of 1986, Public Law 99-579, as amended, and the regulations of the United States Secretary of Transportation, 49 Code of Federal Regulations, Part 580.  A licensee shall comply with the federal Anti Car Theft Act of 1992, Public Law 102-519, as amended, 49 United States Code, Section 30502 and the Code of Federal Regulations, Part 25.56.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§17 (AMD).]</w:t>
      </w:r>
    </w:p>
    <w:p>
      <w:pPr>
        <w:jc w:val="both"/>
        <w:spacing w:before="100" w:after="0"/>
        <w:ind w:start="360"/>
        <w:ind w:firstLine="360"/>
      </w:pPr>
      <w:r>
        <w:rPr>
          <w:b/>
        </w:rPr>
        <w:t>4</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435, §18 (AMD). PL 2019, c. 397, §§16, 17 (AMD). PL 2021, c. 216,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 Records of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Records of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§1110. RECORDS OF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