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Change of location or status</w:t>
      </w:r>
    </w:p>
    <w:p>
      <w:pPr>
        <w:jc w:val="both"/>
        <w:spacing w:before="100" w:after="100"/>
        <w:ind w:start="360"/>
        <w:ind w:firstLine="360"/>
      </w:pPr>
      <w:r>
        <w:rPr/>
      </w:r>
      <w:r>
        <w:rPr/>
      </w:r>
      <w:r>
        <w:t xml:space="preserve">When a person, after applying for or receiving a driver's license or registration, moves from the address named in the application or on the license or registration issued or changes name, that person shall, within 30 days, notify the Secretary of State, in writing or by other means approved by the Secretary of State, of the old and new addresses or former and new names and of the number of the licenses and registrations held.</w:t>
      </w:r>
      <w:r>
        <w:t xml:space="preserve">  </w:t>
      </w:r>
      <w:r xmlns:wp="http://schemas.openxmlformats.org/drawingml/2010/wordprocessingDrawing" xmlns:w15="http://schemas.microsoft.com/office/word/2012/wordml">
        <w:rPr>
          <w:rFonts w:ascii="Arial" w:hAnsi="Arial" w:cs="Arial"/>
          <w:sz w:val="22"/>
          <w:szCs w:val="22"/>
        </w:rPr>
        <w:t xml:space="preserve">[PL 2009, c. 435,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§B15 (AMD). PL 2009, c. 435,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§1407. Change of location 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Change of location 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§1407. CHANGE OF LOCATION 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