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1473</w:t>
        <w:t xml:space="preserve">.  </w:t>
      </w:r>
      <w:r>
        <w:rPr>
          <w:b/>
        </w:rPr>
        <w:t xml:space="preserve">Expenses</w:t>
      </w:r>
    </w:p>
    <w:p>
      <w:pPr>
        <w:jc w:val="both"/>
        <w:spacing w:before="100" w:after="100"/>
        <w:ind w:start="360"/>
        <w:ind w:firstLine="360"/>
      </w:pPr>
      <w:r>
        <w:rPr/>
      </w:r>
      <w:r>
        <w:rPr/>
      </w:r>
      <w:r>
        <w:t xml:space="preserve">The compact administrator provided for in </w:t>
      </w:r>
      <w:r>
        <w:t>Article VII</w:t>
      </w:r>
      <w:r>
        <w:t xml:space="preserve"> of the compact is not entitled to any additional compensation on account of service as administrator, but is entitled to expenses incurred in connection with duties and responsibilities as administrator, in the same manner as for expenses incurred in connection with any other duties or responsibilities of office or employment.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§1473.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§1473.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§1473.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