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1475</w:t>
        <w:t xml:space="preserve">.  </w:t>
      </w:r>
      <w:r>
        <w:rPr>
          <w:b/>
        </w:rPr>
        <w:t xml:space="preserve">Duty of court to report action on licenses</w:t>
      </w:r>
    </w:p>
    <w:p>
      <w:pPr>
        <w:jc w:val="both"/>
        <w:spacing w:before="100" w:after="100"/>
        <w:ind w:start="360"/>
        <w:ind w:firstLine="360"/>
      </w:pPr>
      <w:r>
        <w:rPr/>
      </w:r>
      <w:r>
        <w:rPr/>
      </w:r>
      <w:r>
        <w:t xml:space="preserve">Any court of this State, which has jurisdiction to take any action suspending, revoking or otherwise limiting a license to drive, shall report any such action and the adjudication upon which it is based to the Secretary of State within 5 days on forms furnished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§1475. Duty of court to report action on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§1475. Duty of court to report action on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§1475. DUTY OF COURT TO REPORT ACTION ON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