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Through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Through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§2058. THROUGH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