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§2111. Air pollution control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Air pollution control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§2111. AIR POLLUTION CONTROL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