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 INTERSTATE HIGHWAY SYSTEM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