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Moving heavy objects and objects that exceed dimensional limits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move a vehicle or other object over a public way or bridge without obtaining a permit under this section if that vehicle or object:</w:t>
      </w:r>
    </w:p>
    <w:p>
      <w:pPr>
        <w:jc w:val="both"/>
        <w:spacing w:before="100" w:after="0"/>
        <w:ind w:start="720"/>
      </w:pPr>
      <w:r>
        <w:rPr/>
        <w:t>A</w:t>
        <w:t xml:space="preserve">.  </w:t>
      </w:r>
      <w:r>
        <w:rPr/>
      </w:r>
      <w:r>
        <w:t xml:space="preserve">Exceeds the length, width, height or weight prescribed in this Title; or</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w:pPr>
        <w:jc w:val="both"/>
        <w:spacing w:before="100" w:after="0"/>
        <w:ind w:start="720"/>
      </w:pPr>
      <w:r>
        <w:rPr/>
        <w:t>B</w:t>
        <w:t xml:space="preserve">.  </w:t>
      </w:r>
      <w:r>
        <w:rPr/>
      </w:r>
      <w:r>
        <w:t xml:space="preserve">Has attached to its wheels a flange, rib, clamp or other object likely to injure the surface of the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§72 (RPR); PL 2003, c. 452, Pt. X, §2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section does not prohibit:</w:t>
      </w:r>
    </w:p>
    <w:p>
      <w:pPr>
        <w:jc w:val="both"/>
        <w:spacing w:before="100" w:after="0"/>
        <w:ind w:start="720"/>
      </w:pPr>
      <w:r>
        <w:rPr/>
        <w:t>A</w:t>
        <w:t xml:space="preserve">.  </w:t>
      </w:r>
      <w:r>
        <w:rPr/>
      </w:r>
      <w:r>
        <w:t xml:space="preserve">The transportation of utility poles by a tractor and semitrailer without regard to overall length if the utility poles are moved by a utility company or the utility company's contractor from a staging area to the final point of installation. Nothing in this paragraph exempts the transporter from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2007, c. 703, §24 (AMD).]</w:t>
      </w:r>
    </w:p>
    <w:p>
      <w:pPr>
        <w:jc w:val="both"/>
        <w:spacing w:before="100" w:after="0"/>
        <w:ind w:start="720"/>
      </w:pPr>
      <w:r>
        <w:rPr/>
        <w:t>B</w:t>
        <w:t xml:space="preserve">.  </w:t>
      </w:r>
      <w:r>
        <w:rPr/>
      </w:r>
      <w:r>
        <w:t xml:space="preserve">Overwidth mowing machines, farm tractors or farming vehicles and equipment not customarily operated over public ways, if equipped with lights pursuant to </w:t>
      </w:r>
      <w:r>
        <w:t>section 1906, subsection 1</w:t>
      </w:r>
      <w:r>
        <w:t xml:space="preserve">, or reflectors at least 12 inches by 12 inches, to the front and rear adequately warning, during nighttime, other highway users of the extreme width; or</w:t>
      </w:r>
      <w:r>
        <w:t xml:space="preserve">  </w:t>
      </w:r>
      <w:r xmlns:wp="http://schemas.openxmlformats.org/drawingml/2010/wordprocessingDrawing" xmlns:w15="http://schemas.microsoft.com/office/word/2012/wordml">
        <w:rPr>
          <w:rFonts w:ascii="Arial" w:hAnsi="Arial" w:cs="Arial"/>
          <w:sz w:val="22"/>
          <w:szCs w:val="22"/>
        </w:rPr>
        <w:t xml:space="preserve">[PL 2015, c. 303, §1 (AMD).]</w:t>
      </w:r>
    </w:p>
    <w:p>
      <w:pPr>
        <w:jc w:val="both"/>
        <w:spacing w:before="100" w:after="0"/>
        <w:ind w:start="720"/>
      </w:pPr>
      <w:r>
        <w:rPr/>
        <w:t>C</w:t>
        <w:t xml:space="preserve">.  </w:t>
      </w:r>
      <w:r>
        <w:rPr/>
      </w:r>
      <w:r>
        <w:t xml:space="preserve">The use of tire chains of reasonable proportions when required for safety because of snow, ice or other slippery conditions.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303, §1 (AMD).]</w:t>
      </w:r>
    </w:p>
    <w:p>
      <w:pPr>
        <w:jc w:val="both"/>
        <w:spacing w:before="100" w:after="0"/>
        <w:ind w:start="360"/>
        <w:ind w:firstLine="360"/>
      </w:pPr>
      <w:r>
        <w:rPr>
          <w:b/>
        </w:rPr>
        <w:t>3</w:t>
        <w:t xml:space="preserve">.  </w:t>
      </w:r>
      <w:r>
        <w:rPr>
          <w:b/>
        </w:rPr>
        <w:t xml:space="preserve">Transporter certificates.</w:t>
        <w:t xml:space="preserve"> </w:t>
      </w:r>
      <w:r>
        <w:t xml:space="preserve"> </w:t>
      </w:r>
      <w:r>
        <w:t xml:space="preserve">This section applies but is not limited to holders of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§Q72 (AMD). PL 2003, c. 452, §X2 (AFF). PL 2005, c. 314, §14 (AMD). PL 2007, c. 703, §24 (AMD). PL 2015, c. 303,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§2381. Moving heavy objects and objects that exceed dimensional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Moving heavy objects and objects that exceed dimensional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§2381. MOVING HEAVY OBJECTS AND OBJECTS THAT EXCEED DIMENSIONAL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