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Calculating prior convictions</w:t>
      </w:r>
    </w:p>
    <w:p>
      <w:pPr>
        <w:jc w:val="both"/>
        <w:spacing w:before="100" w:after="100"/>
        <w:ind w:start="360"/>
        <w:ind w:firstLine="360"/>
      </w:pPr>
      <w:r>
        <w:rPr/>
      </w:r>
      <w:r>
        <w:rPr/>
      </w:r>
      <w:r>
        <w:t xml:space="preserve">For purposes of this chapter, a prior conviction or action has occurred within the 10-year period if the date of the action or the date the sentence is imposed is 10 years or less from the date of the new conduct.</w:t>
      </w:r>
      <w:r>
        <w:t xml:space="preserve">  </w:t>
      </w:r>
      <w:r xmlns:wp="http://schemas.openxmlformats.org/drawingml/2010/wordprocessingDrawing" xmlns:w15="http://schemas.microsoft.com/office/word/2012/wordml">
        <w:rPr>
          <w:rFonts w:ascii="Arial" w:hAnsi="Arial" w:cs="Arial"/>
          <w:sz w:val="22"/>
          <w:szCs w:val="22"/>
        </w:rPr>
        <w:t xml:space="preserve">[PL 2013, c. 604,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§AAA6 (AMD). PL 2013, c. 604,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§2402. Calculating prior convictions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Calculating prior convictions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§2402. CALCULATING PRIOR CONVICTIONS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