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Adult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§2471. ADULT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