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Hearing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§2483. HEARING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