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Application</w:t>
      </w:r>
    </w:p>
    <w:p>
      <w:pPr>
        <w:jc w:val="both"/>
        <w:spacing w:before="100" w:after="0"/>
        <w:ind w:start="360"/>
        <w:ind w:firstLine="360"/>
      </w:pPr>
      <w:r>
        <w:rPr>
          <w:b/>
        </w:rPr>
        <w:t>1</w:t>
        <w:t xml:space="preserve">.  </w:t>
      </w:r>
      <w:r>
        <w:rPr>
          <w:b/>
        </w:rPr>
        <w:t xml:space="preserve">Filing of application.</w:t>
        <w:t xml:space="preserve"> </w:t>
      </w:r>
      <w:r>
        <w:t xml:space="preserve"> </w:t>
      </w:r>
      <w:r>
        <w:t xml:space="preserve">Application for vehicle registration may be made by mail or otherwise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 of application.</w:t>
        <w:t xml:space="preserve"> </w:t>
      </w:r>
      <w:r>
        <w:t xml:space="preserve"> </w:t>
      </w:r>
      <w:r>
        <w:t xml:space="preserve">An application must contain information requested by the Secretary of State, including legal name, residence and address of the registrant, current mileage of a motor vehicle, a brief description of the vehicle, the maker, the vehicle identification number, the year of manufacture, and the type of motor fuel or motive power and, for trucks, truck tractors and special mobile equipment, the gross weight.  A registrant that is a corporation, trust, limited partnership or other similar entity must provide either a federal taxpayer identification number or an identification number issued by the department.  An initial application for registration must be signed by the registrant or the registrant's legal representative.  The Secretary of State shall keep initial applications on file until that registration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§4 (AMD).]</w:t>
      </w:r>
    </w:p>
    <w:p>
      <w:pPr>
        <w:jc w:val="both"/>
        <w:spacing w:before="100" w:after="100"/>
        <w:ind w:start="360"/>
        <w:ind w:firstLine="360"/>
      </w:pPr>
      <w:r>
        <w:rPr>
          <w:b/>
        </w:rPr>
        <w:t>3</w:t>
        <w:t xml:space="preserve">.  </w:t>
      </w:r>
      <w:r>
        <w:rPr>
          <w:b/>
        </w:rPr>
        <w:t xml:space="preserve">Issuance of registration.</w:t>
        <w:t xml:space="preserve"> </w:t>
      </w:r>
      <w:r>
        <w:t xml:space="preserve"> </w:t>
      </w:r>
      <w:r>
        <w:t xml:space="preserve">The Secretary of State, on approving the application, shall issue:</w:t>
      </w:r>
    </w:p>
    <w:p>
      <w:pPr>
        <w:jc w:val="both"/>
        <w:spacing w:before="100" w:after="0"/>
        <w:ind w:start="720"/>
      </w:pPr>
      <w:r>
        <w:rPr/>
        <w:t>A</w:t>
        <w:t xml:space="preserve">.  </w:t>
      </w:r>
      <w:r>
        <w:rPr/>
      </w:r>
      <w:r>
        <w:t xml:space="preserve">A registration number or other distinguishing mark;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of registration that contains the name, place of residence and address of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Refusal.</w:t>
        <w:t xml:space="preserve"> </w:t>
      </w:r>
      <w:r>
        <w:t xml:space="preserve"> </w:t>
      </w:r>
      <w:r>
        <w:t xml:space="preserve">The Secretary of State may refuse to register the vehicle or to issue a certificate if the applicant has not provided satisfactory information or if the Secretary of State determines that the type of vehicle should not be permitted to be on the highways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File.</w:t>
        <w:t xml:space="preserve"> </w:t>
      </w:r>
      <w:r>
        <w:t xml:space="preserve"> </w:t>
      </w:r>
      <w:r>
        <w:t xml:space="preserve">The Secretary of State shall maintain a file of applications and registrations arranged alphabetically according to the name of the applicant and numerically according to registration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§B3 (AMD). PL 1995, c. 645, §B7 (AMD). PL 1995, c. 645, §B24 (AFF). PL 2001, c. 361, §6 (AMD). PL 2001, c. 361, §38 (AFF). RR 2009, c. 2, §81 (COR). PL 2015, c. 473,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