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Carrying of registration</w:t>
      </w:r>
    </w:p>
    <w:p>
      <w:pPr>
        <w:jc w:val="both"/>
        <w:spacing w:before="100" w:after="0"/>
        <w:ind w:start="360"/>
        <w:ind w:firstLine="360"/>
      </w:pPr>
      <w:r>
        <w:rPr>
          <w:b/>
        </w:rPr>
        <w:t>1</w:t>
        <w:t xml:space="preserve">.  </w:t>
      </w:r>
      <w:r>
        <w:rPr>
          <w:b/>
        </w:rPr>
        <w:t xml:space="preserve">Requirement.</w:t>
        <w:t xml:space="preserve"> </w:t>
      </w:r>
      <w:r>
        <w:t xml:space="preserve"> </w:t>
      </w:r>
      <w:r>
        <w:t xml:space="preserve">A certificate of registration, except a dealer certificate, must be carried on the person of the operator or occupant, or kept in some easily accessible place in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vehicle was registered at the time of the alleged violation.  The clerk of the District Court violations bureau must dismiss the complaint if, prior to the date required for filing an answer to the complaint, the person charged files with the bureau a copy of the Violation Summons and Complaint together with satisfactory evidence that the vehicle was registered at the time of the alleged violation.  If a person files a timely answer to a Violation Summons and Complaint alleging a violation of this section and that person presents satisfactory evidence to the court at the time of trial showing that the vehicle was registered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Carrying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Carrying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§404. CARRYING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