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Registration; disability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Registration; disability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§521. REGISTRATION; DISABILITY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