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Bureau of State Police;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Bureau of State Police;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§555. BUREAU OF STATE POLICE;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