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Notice of petitions affecting individuals or corporations</w:t>
      </w:r>
    </w:p>
    <w:p>
      <w:pPr>
        <w:jc w:val="both"/>
        <w:spacing w:before="100" w:after="100"/>
        <w:ind w:start="360"/>
        <w:ind w:firstLine="360"/>
      </w:pPr>
      <w:r>
        <w:rPr/>
      </w:r>
      <w:r>
        <w:rPr/>
      </w:r>
      <w:r>
        <w:t xml:space="preserve">Notice of any petition for legislation, affecting the rights of individuals or corporations, may be given by serving them with a true copy of the petition at least 14 days before the commencement of the next session, or by publishing such copy 3 weeks successively in a newspaper of general circulation in the counties in which such individuals reside or such corporations are established, the last publication to be at least 14 days before the session.  If further service is deemed necessary, or if notice is defective or insufficient, further notice may be ordered.</w:t>
      </w:r>
      <w:r>
        <w:t xml:space="preserve">  </w:t>
      </w:r>
      <w:r xmlns:wp="http://schemas.openxmlformats.org/drawingml/2010/wordprocessingDrawing" xmlns:w15="http://schemas.microsoft.com/office/word/2012/wordml">
        <w:rPr>
          <w:rFonts w:ascii="Arial" w:hAnsi="Arial" w:cs="Arial"/>
          <w:sz w:val="22"/>
          <w:szCs w:val="22"/>
        </w:rPr>
        <w:t xml:space="preserve">[PL 1987, c. 667,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Notice of petitions affecting individuals or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Notice of petitions affecting individuals or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§121. NOTICE OF PETITIONS AFFECTING INDIVIDUALS OR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